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26" w:rsidRDefault="00B96526" w:rsidP="00B96526">
      <w:pPr>
        <w:spacing w:after="0" w:line="240" w:lineRule="auto"/>
        <w:outlineLvl w:val="2"/>
        <w:rPr>
          <w:rFonts w:eastAsia="Times New Roman" w:cs="Times New Roman"/>
          <w:b/>
          <w:bCs/>
          <w:szCs w:val="24"/>
        </w:rPr>
      </w:pPr>
      <w:r>
        <w:rPr>
          <w:noProof/>
        </w:rPr>
        <w:drawing>
          <wp:inline distT="0" distB="0" distL="0" distR="0" wp14:anchorId="4C114258" wp14:editId="4D2B09F4">
            <wp:extent cx="3346450" cy="749300"/>
            <wp:effectExtent l="0" t="0" r="6350" b="0"/>
            <wp:docPr id="2" name="Picture 2" descr="lincs logo (LINCS: Community, Courses, and Resources for Adult Education)." title="lin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e Stadd\AppData\Local\Microsoft\Windows\INetCache\Content.Word\LINCS_logo201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26" w:rsidRDefault="00B96526" w:rsidP="00B96526">
      <w:pPr>
        <w:spacing w:after="0" w:line="240" w:lineRule="auto"/>
        <w:outlineLvl w:val="2"/>
        <w:rPr>
          <w:rFonts w:eastAsia="Times New Roman" w:cs="Times New Roman"/>
          <w:b/>
          <w:bCs/>
          <w:szCs w:val="24"/>
        </w:rPr>
      </w:pPr>
    </w:p>
    <w:p w:rsidR="006554FC" w:rsidRPr="0067431E" w:rsidRDefault="006554FC" w:rsidP="0067431E">
      <w:pPr>
        <w:jc w:val="center"/>
        <w:rPr>
          <w:b/>
        </w:rPr>
      </w:pPr>
      <w:r w:rsidRPr="0067431E">
        <w:rPr>
          <w:b/>
        </w:rPr>
        <w:t>LINCS ESL Pro Study Circle</w:t>
      </w:r>
      <w:r w:rsidR="0067431E">
        <w:rPr>
          <w:b/>
        </w:rPr>
        <w:br/>
      </w:r>
      <w:r w:rsidRPr="0067431E">
        <w:rPr>
          <w:b/>
        </w:rPr>
        <w:t>Preparing English Learners for Work and Career Pathways</w:t>
      </w:r>
      <w:r w:rsidR="0067431E">
        <w:rPr>
          <w:b/>
        </w:rPr>
        <w:br/>
      </w:r>
      <w:r w:rsidRPr="0067431E">
        <w:rPr>
          <w:b/>
        </w:rPr>
        <w:t>Assignment #1 Pre Study Circle Self-Assessment</w:t>
      </w:r>
    </w:p>
    <w:p w:rsidR="00882BB6" w:rsidRDefault="00882BB6" w:rsidP="00882BB6">
      <w:pPr>
        <w:pStyle w:val="Heading1"/>
      </w:pPr>
      <w:bookmarkStart w:id="0" w:name="_GoBack"/>
      <w:r>
        <w:t>Assignment #1</w:t>
      </w:r>
    </w:p>
    <w:bookmarkEnd w:id="0"/>
    <w:p w:rsidR="006554FC" w:rsidRDefault="006554FC" w:rsidP="0067431E">
      <w:pPr>
        <w:rPr>
          <w:i/>
        </w:rPr>
      </w:pPr>
      <w:r w:rsidRPr="006554FC">
        <w:rPr>
          <w:i/>
        </w:rPr>
        <w:t xml:space="preserve">Before </w:t>
      </w:r>
      <w:r>
        <w:rPr>
          <w:i/>
        </w:rPr>
        <w:t>the first study circle session,</w:t>
      </w:r>
      <w:r w:rsidRPr="006554FC">
        <w:rPr>
          <w:i/>
        </w:rPr>
        <w:t xml:space="preserve"> review the statements below and indicate whether they are true or false.</w:t>
      </w:r>
      <w:r>
        <w:rPr>
          <w:i/>
        </w:rPr>
        <w:t xml:space="preserve"> Add comments to explain your responses. Be sure to bring this handout to the study circle session and be prepared to share your thoughts.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rue False Table"/>
        <w:tblDescription w:val="Indicate whether you think each statement is true or false. Enter comments if desired. "/>
      </w:tblPr>
      <w:tblGrid>
        <w:gridCol w:w="4039"/>
        <w:gridCol w:w="723"/>
        <w:gridCol w:w="750"/>
        <w:gridCol w:w="3838"/>
      </w:tblGrid>
      <w:tr w:rsidR="00B96526" w:rsidTr="00351A13">
        <w:trPr>
          <w:tblHeader/>
        </w:trPr>
        <w:tc>
          <w:tcPr>
            <w:tcW w:w="4066" w:type="dxa"/>
          </w:tcPr>
          <w:p w:rsidR="00B96526" w:rsidRPr="00B96526" w:rsidRDefault="00B96526" w:rsidP="00B96526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szCs w:val="24"/>
              </w:rPr>
            </w:pPr>
            <w:r w:rsidRPr="00B96526">
              <w:rPr>
                <w:rFonts w:eastAsia="Times New Roman" w:cs="Times New Roman"/>
                <w:b/>
                <w:bCs/>
                <w:szCs w:val="24"/>
              </w:rPr>
              <w:t>Statement</w:t>
            </w:r>
          </w:p>
        </w:tc>
        <w:tc>
          <w:tcPr>
            <w:tcW w:w="670" w:type="dxa"/>
          </w:tcPr>
          <w:p w:rsidR="00B96526" w:rsidRPr="00B96526" w:rsidRDefault="00B96526" w:rsidP="00B96526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szCs w:val="24"/>
              </w:rPr>
            </w:pPr>
            <w:r w:rsidRPr="00B96526">
              <w:rPr>
                <w:rFonts w:eastAsia="Times New Roman" w:cs="Times New Roman"/>
                <w:b/>
                <w:bCs/>
                <w:szCs w:val="24"/>
              </w:rPr>
              <w:t>True</w:t>
            </w:r>
          </w:p>
        </w:tc>
        <w:tc>
          <w:tcPr>
            <w:tcW w:w="749" w:type="dxa"/>
          </w:tcPr>
          <w:p w:rsidR="00B96526" w:rsidRPr="00B96526" w:rsidRDefault="00B96526" w:rsidP="00B96526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szCs w:val="24"/>
              </w:rPr>
            </w:pPr>
            <w:r w:rsidRPr="00B96526">
              <w:rPr>
                <w:rFonts w:eastAsia="Times New Roman" w:cs="Times New Roman"/>
                <w:b/>
                <w:bCs/>
                <w:szCs w:val="24"/>
              </w:rPr>
              <w:t>False</w:t>
            </w:r>
          </w:p>
        </w:tc>
        <w:tc>
          <w:tcPr>
            <w:tcW w:w="3865" w:type="dxa"/>
          </w:tcPr>
          <w:p w:rsidR="00B96526" w:rsidRPr="00B96526" w:rsidRDefault="00B96526" w:rsidP="00B96526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="Times New Roman"/>
                <w:b/>
                <w:bCs/>
                <w:szCs w:val="24"/>
              </w:rPr>
            </w:pPr>
            <w:r w:rsidRPr="00B96526">
              <w:rPr>
                <w:rFonts w:eastAsia="Times New Roman" w:cs="Times New Roman"/>
                <w:b/>
                <w:bCs/>
                <w:szCs w:val="24"/>
              </w:rPr>
              <w:t>Comments</w:t>
            </w:r>
          </w:p>
        </w:tc>
      </w:tr>
      <w:tr w:rsidR="00B96526" w:rsidTr="00B96526">
        <w:tc>
          <w:tcPr>
            <w:tcW w:w="4066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6554FC">
              <w:rPr>
                <w:rFonts w:eastAsia="Times New Roman" w:cs="Times New Roman"/>
                <w:szCs w:val="24"/>
              </w:rPr>
              <w:t>Teaching life skills is one example of contextualized instruction</w: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:rsidR="0067431E" w:rsidRDefault="0067431E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670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749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865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B96526" w:rsidTr="00B96526">
        <w:tc>
          <w:tcPr>
            <w:tcW w:w="4066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6554FC">
              <w:rPr>
                <w:rFonts w:eastAsia="Times New Roman" w:cs="Times New Roman"/>
                <w:szCs w:val="24"/>
              </w:rPr>
              <w:t>Students need to be at an advanced level before they can participate in work or career preparation classes.</w:t>
            </w:r>
          </w:p>
          <w:p w:rsidR="0067431E" w:rsidRDefault="0067431E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670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749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865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B96526" w:rsidTr="00B96526">
        <w:tc>
          <w:tcPr>
            <w:tcW w:w="4066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6554FC">
              <w:rPr>
                <w:rFonts w:eastAsia="Times New Roman" w:cs="Times New Roman"/>
                <w:szCs w:val="24"/>
              </w:rPr>
              <w:t>Most immigrants and refugees not yet proficient in English are working.</w:t>
            </w:r>
          </w:p>
          <w:p w:rsidR="0067431E" w:rsidRPr="006554FC" w:rsidRDefault="0067431E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749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865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B96526" w:rsidTr="00B96526">
        <w:tc>
          <w:tcPr>
            <w:tcW w:w="4066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6554FC">
              <w:rPr>
                <w:rFonts w:eastAsia="Times New Roman" w:cs="Times New Roman"/>
                <w:szCs w:val="24"/>
              </w:rPr>
              <w:t>Instructional strategies for teaching E</w:t>
            </w:r>
            <w:r>
              <w:rPr>
                <w:rFonts w:eastAsia="Times New Roman" w:cs="Times New Roman"/>
                <w:szCs w:val="24"/>
              </w:rPr>
              <w:t>nglish Language Acquisition (ELA)</w:t>
            </w:r>
            <w:r w:rsidRPr="006554FC">
              <w:rPr>
                <w:rFonts w:eastAsia="Times New Roman" w:cs="Times New Roman"/>
                <w:szCs w:val="24"/>
              </w:rPr>
              <w:t xml:space="preserve"> in the context of work and training are totally different from other ELA strategies.</w:t>
            </w:r>
          </w:p>
          <w:p w:rsidR="0067431E" w:rsidRPr="006554FC" w:rsidRDefault="0067431E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749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865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B96526" w:rsidTr="00B96526">
        <w:tc>
          <w:tcPr>
            <w:tcW w:w="4066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  <w:r w:rsidRPr="006554FC">
              <w:rPr>
                <w:rFonts w:eastAsia="Times New Roman" w:cs="Times New Roman"/>
                <w:szCs w:val="24"/>
              </w:rPr>
              <w:t>One of the major long-term goals of workforce and career pathway preparation is to help adult learners get “good jobs at good wages.”</w:t>
            </w:r>
          </w:p>
          <w:p w:rsidR="0067431E" w:rsidRPr="006554FC" w:rsidRDefault="0067431E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749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3865" w:type="dxa"/>
          </w:tcPr>
          <w:p w:rsidR="00B96526" w:rsidRDefault="00B96526" w:rsidP="006554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Cs w:val="24"/>
              </w:rPr>
            </w:pPr>
          </w:p>
        </w:tc>
      </w:tr>
    </w:tbl>
    <w:p w:rsidR="00B96526" w:rsidRDefault="00B96526" w:rsidP="005C2B0E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</w:p>
    <w:sectPr w:rsidR="00B96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F8" w:rsidRDefault="004F1AF8" w:rsidP="006554FC">
      <w:pPr>
        <w:spacing w:after="0" w:line="240" w:lineRule="auto"/>
      </w:pPr>
      <w:r>
        <w:separator/>
      </w:r>
    </w:p>
  </w:endnote>
  <w:endnote w:type="continuationSeparator" w:id="0">
    <w:p w:rsidR="004F1AF8" w:rsidRDefault="004F1AF8" w:rsidP="0065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F8" w:rsidRDefault="004F1AF8" w:rsidP="006554FC">
      <w:pPr>
        <w:spacing w:after="0" w:line="240" w:lineRule="auto"/>
      </w:pPr>
      <w:r>
        <w:separator/>
      </w:r>
    </w:p>
  </w:footnote>
  <w:footnote w:type="continuationSeparator" w:id="0">
    <w:p w:rsidR="004F1AF8" w:rsidRDefault="004F1AF8" w:rsidP="00655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18"/>
    <w:rsid w:val="00351A13"/>
    <w:rsid w:val="00494E18"/>
    <w:rsid w:val="004F1AF8"/>
    <w:rsid w:val="00563295"/>
    <w:rsid w:val="005C2B0E"/>
    <w:rsid w:val="006554FC"/>
    <w:rsid w:val="0067431E"/>
    <w:rsid w:val="007F23FB"/>
    <w:rsid w:val="0083306D"/>
    <w:rsid w:val="00882BB6"/>
    <w:rsid w:val="00AB1809"/>
    <w:rsid w:val="00B96526"/>
    <w:rsid w:val="00C8724F"/>
    <w:rsid w:val="00E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E9FD"/>
  <w15:docId w15:val="{AA585C37-D8A5-4A7E-A236-D014BE68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B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94E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4E18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94E1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94E18"/>
    <w:rPr>
      <w:b/>
      <w:bCs/>
    </w:rPr>
  </w:style>
  <w:style w:type="table" w:styleId="TableGrid">
    <w:name w:val="Table Grid"/>
    <w:basedOn w:val="TableNormal"/>
    <w:uiPriority w:val="59"/>
    <w:rsid w:val="0065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FC"/>
  </w:style>
  <w:style w:type="paragraph" w:styleId="Footer">
    <w:name w:val="footer"/>
    <w:basedOn w:val="Normal"/>
    <w:link w:val="FooterChar"/>
    <w:uiPriority w:val="99"/>
    <w:unhideWhenUsed/>
    <w:rsid w:val="00655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FC"/>
  </w:style>
  <w:style w:type="character" w:customStyle="1" w:styleId="Heading1Char">
    <w:name w:val="Heading 1 Char"/>
    <w:basedOn w:val="DefaultParagraphFont"/>
    <w:link w:val="Heading1"/>
    <w:uiPriority w:val="9"/>
    <w:rsid w:val="00882B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Lancaster-Lebanon IU 13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Finn Miller</dc:creator>
  <cp:lastModifiedBy>Jessie Stadd</cp:lastModifiedBy>
  <cp:revision>7</cp:revision>
  <dcterms:created xsi:type="dcterms:W3CDTF">2017-06-19T17:12:00Z</dcterms:created>
  <dcterms:modified xsi:type="dcterms:W3CDTF">2017-09-13T14:31:00Z</dcterms:modified>
</cp:coreProperties>
</file>