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8B89" w14:textId="035BA993" w:rsidR="00B50410" w:rsidRPr="000F4DBB" w:rsidRDefault="00B50410" w:rsidP="00664A1E">
      <w:pPr>
        <w:pStyle w:val="BodyText2"/>
      </w:pPr>
      <w:bookmarkStart w:id="0" w:name="_Hlk92182843"/>
      <w:r w:rsidRPr="000F4DBB">
        <w:t xml:space="preserve">IET Design Camp </w:t>
      </w:r>
      <w:r w:rsidR="00210767">
        <w:t>Phase 2</w:t>
      </w:r>
      <w:r w:rsidRPr="000F4DBB">
        <w:t xml:space="preserve">: </w:t>
      </w:r>
      <w:r w:rsidR="00E57E23">
        <w:t>Design and Plan</w:t>
      </w:r>
      <w:r w:rsidR="00F12A5C">
        <w:t xml:space="preserve"> </w:t>
      </w:r>
    </w:p>
    <w:p w14:paraId="28F50420" w14:textId="553394C3" w:rsidR="00B50410" w:rsidRDefault="008041C1" w:rsidP="00B50410">
      <w:pPr>
        <w:spacing w:after="0"/>
        <w:jc w:val="center"/>
        <w:rPr>
          <w:b/>
          <w:bCs/>
          <w:sz w:val="28"/>
          <w:szCs w:val="28"/>
        </w:rPr>
      </w:pPr>
      <w:r w:rsidRPr="00742441">
        <w:rPr>
          <w:rFonts w:ascii="Arial" w:eastAsia="Lato SemiBold" w:hAnsi="Arial" w:cs="Arial"/>
          <w:noProof/>
          <w:color w:val="315F9F"/>
          <w:kern w:val="24"/>
          <w:sz w:val="40"/>
          <w:szCs w:val="40"/>
        </w:rPr>
        <w:drawing>
          <wp:inline distT="0" distB="0" distL="0" distR="0" wp14:anchorId="59F21737" wp14:editId="7F33B845">
            <wp:extent cx="1903095" cy="842010"/>
            <wp:effectExtent l="0" t="0" r="1905" b="0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3EE39D26-FD50-412C-87ED-E2F5949752E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3EE39D26-FD50-412C-87ED-E2F5949752E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DF8AE" w14:textId="77777777" w:rsidR="00210767" w:rsidRDefault="00210767" w:rsidP="00B50410">
      <w:pPr>
        <w:spacing w:after="0"/>
        <w:jc w:val="center"/>
        <w:rPr>
          <w:b/>
          <w:bCs/>
          <w:sz w:val="28"/>
          <w:szCs w:val="28"/>
        </w:rPr>
      </w:pPr>
    </w:p>
    <w:p w14:paraId="01ED4A68" w14:textId="329CB770" w:rsidR="00210767" w:rsidRPr="00664A1E" w:rsidRDefault="00B50410" w:rsidP="00664A1E">
      <w:pPr>
        <w:pStyle w:val="Heading1"/>
        <w:rPr>
          <w:sz w:val="32"/>
          <w:szCs w:val="32"/>
        </w:rPr>
      </w:pPr>
      <w:r w:rsidRPr="00664A1E">
        <w:rPr>
          <w:sz w:val="32"/>
          <w:szCs w:val="32"/>
        </w:rPr>
        <w:t>Breakout Group Activity #</w:t>
      </w:r>
      <w:r w:rsidR="006B6B6B" w:rsidRPr="00664A1E">
        <w:rPr>
          <w:sz w:val="32"/>
          <w:szCs w:val="32"/>
        </w:rPr>
        <w:t>2</w:t>
      </w:r>
    </w:p>
    <w:p w14:paraId="68190459" w14:textId="09903C81" w:rsidR="00C466B3" w:rsidRPr="000A1DB1" w:rsidRDefault="00E57E23" w:rsidP="00664A1E">
      <w:pPr>
        <w:pStyle w:val="Heading1"/>
      </w:pPr>
      <w:r>
        <w:t xml:space="preserve">What does a successful IET </w:t>
      </w:r>
      <w:r w:rsidR="006B6B6B">
        <w:t>learner experience</w:t>
      </w:r>
      <w:r>
        <w:t xml:space="preserve"> look like?</w:t>
      </w:r>
    </w:p>
    <w:p w14:paraId="6C9668A6" w14:textId="05151941" w:rsidR="00B50410" w:rsidRDefault="00B50410" w:rsidP="00664A1E">
      <w:pPr>
        <w:pStyle w:val="BodyText"/>
      </w:pPr>
      <w:r w:rsidRPr="00453826">
        <w:rPr>
          <w:b/>
          <w:bCs/>
          <w:noProof/>
        </w:rPr>
        <w:drawing>
          <wp:inline distT="0" distB="0" distL="0" distR="0" wp14:anchorId="74740701" wp14:editId="6055627C">
            <wp:extent cx="483870" cy="483870"/>
            <wp:effectExtent l="0" t="0" r="0" b="0"/>
            <wp:docPr id="70" name="Graphic 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raphic 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40B90">
        <w:t xml:space="preserve">15 </w:t>
      </w:r>
      <w:r>
        <w:t>minutes</w:t>
      </w:r>
    </w:p>
    <w:p w14:paraId="1B48E388" w14:textId="784D4BE1" w:rsidR="00E80A6C" w:rsidRDefault="00460ACA" w:rsidP="00664A1E">
      <w:pPr>
        <w:pStyle w:val="Heading2"/>
      </w:pPr>
      <w:r>
        <w:t xml:space="preserve">Facilitator </w:t>
      </w:r>
      <w:r w:rsidR="00E80A6C">
        <w:t>Instructions:</w:t>
      </w:r>
    </w:p>
    <w:p w14:paraId="5E8BEDC8" w14:textId="0CF5E66A" w:rsidR="002956EE" w:rsidRPr="002956EE" w:rsidRDefault="00790B8B" w:rsidP="7AF27539">
      <w:pPr>
        <w:pStyle w:val="ListParagraph"/>
        <w:numPr>
          <w:ilvl w:val="0"/>
          <w:numId w:val="1"/>
        </w:numPr>
        <w:spacing w:before="60" w:after="60" w:line="240" w:lineRule="auto"/>
        <w:ind w:left="1166" w:hanging="446"/>
        <w:rPr>
          <w:rStyle w:val="normaltextrun"/>
          <w:sz w:val="26"/>
          <w:szCs w:val="26"/>
        </w:rPr>
      </w:pPr>
      <w:r w:rsidRPr="7AF27539">
        <w:rPr>
          <w:sz w:val="26"/>
          <w:szCs w:val="26"/>
        </w:rPr>
        <w:t>W</w:t>
      </w:r>
      <w:r w:rsidR="00E57E23" w:rsidRPr="7AF27539">
        <w:rPr>
          <w:sz w:val="26"/>
          <w:szCs w:val="26"/>
        </w:rPr>
        <w:t xml:space="preserve">ork with the breakout group members to </w:t>
      </w:r>
      <w:r w:rsidR="009B34C9" w:rsidRPr="7AF27539">
        <w:rPr>
          <w:sz w:val="26"/>
          <w:szCs w:val="26"/>
        </w:rPr>
        <w:t xml:space="preserve">come </w:t>
      </w:r>
      <w:r w:rsidR="006B6B6B" w:rsidRPr="7AF27539">
        <w:rPr>
          <w:sz w:val="26"/>
          <w:szCs w:val="26"/>
        </w:rPr>
        <w:t>up with key considerations for the IET program based on the learner profile</w:t>
      </w:r>
      <w:r w:rsidR="00D22F36">
        <w:rPr>
          <w:sz w:val="26"/>
          <w:szCs w:val="26"/>
        </w:rPr>
        <w:t xml:space="preserve"> in Appendix B, #B1 of the Participant Guide</w:t>
      </w:r>
      <w:r w:rsidR="006B6B6B" w:rsidRPr="7AF27539">
        <w:rPr>
          <w:sz w:val="26"/>
          <w:szCs w:val="26"/>
        </w:rPr>
        <w:t>.</w:t>
      </w:r>
    </w:p>
    <w:p w14:paraId="356D0F71" w14:textId="2AAFCD86" w:rsidR="00380E0C" w:rsidRPr="00380E0C" w:rsidRDefault="00380E0C" w:rsidP="002956EE">
      <w:pPr>
        <w:spacing w:before="60" w:after="60" w:line="240" w:lineRule="auto"/>
        <w:ind w:left="1440" w:right="540"/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</w:pPr>
      <w:r w:rsidRPr="00380E0C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SAY:</w:t>
      </w:r>
    </w:p>
    <w:p w14:paraId="7103B22F" w14:textId="27FCB587" w:rsidR="006B6B6B" w:rsidRPr="00380E0C" w:rsidRDefault="00C255F0" w:rsidP="00CC6A41">
      <w:pPr>
        <w:spacing w:before="60" w:after="60" w:line="240" w:lineRule="auto"/>
        <w:ind w:left="1440" w:right="1350"/>
        <w:rPr>
          <w:i/>
          <w:iCs/>
          <w:sz w:val="26"/>
          <w:szCs w:val="26"/>
        </w:rPr>
      </w:pPr>
      <w:r w:rsidRPr="00380E0C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>Put yourselves in the shoes of the learner in the profile and discuss a simulated</w:t>
      </w:r>
      <w:r w:rsidRPr="00380E0C">
        <w:rPr>
          <w:rStyle w:val="normaltextrun"/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 </w:t>
      </w:r>
      <w:r w:rsidRPr="00380E0C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 xml:space="preserve">walkthrough of the IET experience. </w:t>
      </w:r>
      <w:r w:rsidR="00380E0C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>You’ll c</w:t>
      </w:r>
      <w:r w:rsidRPr="00380E0C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 xml:space="preserve">reate a list of key considerations from the perspective of the learner and </w:t>
      </w:r>
      <w:r w:rsidR="00380E0C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>some potential learner supports to address them</w:t>
      </w:r>
      <w:r w:rsidR="00A1303A" w:rsidRPr="00380E0C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1CA7FE1F" w14:textId="1184573D" w:rsidR="00460ACA" w:rsidRPr="00C51F9F" w:rsidRDefault="006B6B6B" w:rsidP="006B6B6B">
      <w:pPr>
        <w:pStyle w:val="ListParagraph"/>
        <w:numPr>
          <w:ilvl w:val="0"/>
          <w:numId w:val="1"/>
        </w:numPr>
        <w:spacing w:before="60" w:after="60" w:line="240" w:lineRule="auto"/>
        <w:ind w:left="1166" w:hanging="446"/>
        <w:contextualSpacing w:val="0"/>
        <w:rPr>
          <w:sz w:val="26"/>
          <w:szCs w:val="26"/>
        </w:rPr>
      </w:pPr>
      <w:r w:rsidRPr="00C51F9F">
        <w:rPr>
          <w:sz w:val="26"/>
          <w:szCs w:val="26"/>
        </w:rPr>
        <w:t xml:space="preserve">Once you have </w:t>
      </w:r>
      <w:r w:rsidR="00CA5043">
        <w:rPr>
          <w:sz w:val="26"/>
          <w:szCs w:val="26"/>
        </w:rPr>
        <w:t xml:space="preserve">identified some </w:t>
      </w:r>
      <w:r w:rsidRPr="00C51F9F">
        <w:rPr>
          <w:sz w:val="26"/>
          <w:szCs w:val="26"/>
        </w:rPr>
        <w:t>considerations, have group members brainstorm potential learner supports to address the considerations</w:t>
      </w:r>
      <w:r w:rsidR="00E57E23" w:rsidRPr="00C51F9F">
        <w:rPr>
          <w:sz w:val="26"/>
          <w:szCs w:val="26"/>
        </w:rPr>
        <w:t xml:space="preserve">. </w:t>
      </w:r>
    </w:p>
    <w:p w14:paraId="03C13282" w14:textId="5BF2164D" w:rsidR="000C092E" w:rsidRPr="00C51F9F" w:rsidRDefault="000C092E" w:rsidP="006B6B6B">
      <w:pPr>
        <w:pStyle w:val="ListParagraph"/>
        <w:numPr>
          <w:ilvl w:val="0"/>
          <w:numId w:val="1"/>
        </w:numPr>
        <w:spacing w:before="60" w:after="60" w:line="240" w:lineRule="auto"/>
        <w:ind w:left="1166" w:hanging="446"/>
        <w:contextualSpacing w:val="0"/>
        <w:rPr>
          <w:sz w:val="26"/>
          <w:szCs w:val="26"/>
        </w:rPr>
      </w:pPr>
      <w:r w:rsidRPr="00C51F9F">
        <w:rPr>
          <w:sz w:val="26"/>
          <w:szCs w:val="26"/>
        </w:rPr>
        <w:t xml:space="preserve">Capture </w:t>
      </w:r>
      <w:r w:rsidR="006B6B6B" w:rsidRPr="00C51F9F">
        <w:rPr>
          <w:sz w:val="26"/>
          <w:szCs w:val="26"/>
        </w:rPr>
        <w:t>the group’s ideas</w:t>
      </w:r>
      <w:r w:rsidRPr="00C51F9F">
        <w:rPr>
          <w:sz w:val="26"/>
          <w:szCs w:val="26"/>
        </w:rPr>
        <w:t>.</w:t>
      </w:r>
    </w:p>
    <w:p w14:paraId="0905D665" w14:textId="77777777" w:rsidR="000C092E" w:rsidRPr="00C51F9F" w:rsidRDefault="000C092E" w:rsidP="006B6B6B">
      <w:pPr>
        <w:pStyle w:val="ListParagraph"/>
        <w:numPr>
          <w:ilvl w:val="1"/>
          <w:numId w:val="22"/>
        </w:numPr>
        <w:spacing w:before="60" w:after="60" w:line="240" w:lineRule="auto"/>
        <w:ind w:left="1440" w:hanging="270"/>
        <w:contextualSpacing w:val="0"/>
        <w:rPr>
          <w:sz w:val="26"/>
          <w:szCs w:val="26"/>
        </w:rPr>
      </w:pPr>
      <w:r w:rsidRPr="00C51F9F">
        <w:rPr>
          <w:sz w:val="26"/>
          <w:szCs w:val="26"/>
          <w:shd w:val="clear" w:color="auto" w:fill="D9D9D9" w:themeFill="background1" w:themeFillShade="D9"/>
        </w:rPr>
        <w:t>If in-person</w:t>
      </w:r>
      <w:r w:rsidRPr="00C51F9F">
        <w:rPr>
          <w:sz w:val="26"/>
          <w:szCs w:val="26"/>
        </w:rPr>
        <w:t>: Use the next page of this handout to capture the information</w:t>
      </w:r>
      <w:r w:rsidR="00E57E23" w:rsidRPr="00C51F9F">
        <w:rPr>
          <w:sz w:val="26"/>
          <w:szCs w:val="26"/>
        </w:rPr>
        <w:t>.</w:t>
      </w:r>
    </w:p>
    <w:p w14:paraId="79D8BAE2" w14:textId="316DAE50" w:rsidR="00DF1EE7" w:rsidRPr="00C51F9F" w:rsidRDefault="000C092E" w:rsidP="006B6B6B">
      <w:pPr>
        <w:pStyle w:val="ListParagraph"/>
        <w:numPr>
          <w:ilvl w:val="1"/>
          <w:numId w:val="22"/>
        </w:numPr>
        <w:spacing w:before="60" w:after="60" w:line="240" w:lineRule="auto"/>
        <w:ind w:left="1440" w:hanging="270"/>
        <w:contextualSpacing w:val="0"/>
        <w:rPr>
          <w:sz w:val="26"/>
          <w:szCs w:val="26"/>
        </w:rPr>
      </w:pPr>
      <w:r w:rsidRPr="00C51F9F">
        <w:rPr>
          <w:sz w:val="26"/>
          <w:szCs w:val="26"/>
          <w:shd w:val="clear" w:color="auto" w:fill="D9D9D9" w:themeFill="background1" w:themeFillShade="D9"/>
        </w:rPr>
        <w:t>If virtual</w:t>
      </w:r>
      <w:r w:rsidRPr="00C51F9F">
        <w:rPr>
          <w:sz w:val="26"/>
          <w:szCs w:val="26"/>
        </w:rPr>
        <w:t xml:space="preserve">: Open the </w:t>
      </w:r>
      <w:r w:rsidR="00A33E02" w:rsidRPr="00A33E02">
        <w:rPr>
          <w:b/>
          <w:bCs/>
          <w:i/>
          <w:iCs/>
          <w:sz w:val="26"/>
          <w:szCs w:val="26"/>
        </w:rPr>
        <w:t>2.B4_Design_Plan_Breakout_2_Facilitator_PPT_Virtual</w:t>
      </w:r>
      <w:r w:rsidRPr="00C51F9F">
        <w:rPr>
          <w:b/>
          <w:bCs/>
          <w:i/>
          <w:iCs/>
          <w:sz w:val="26"/>
          <w:szCs w:val="26"/>
        </w:rPr>
        <w:t>.pptx</w:t>
      </w:r>
      <w:r w:rsidRPr="00C51F9F">
        <w:rPr>
          <w:sz w:val="26"/>
          <w:szCs w:val="26"/>
        </w:rPr>
        <w:t xml:space="preserve"> and share your screen. Capture the </w:t>
      </w:r>
      <w:r w:rsidR="006B6B6B" w:rsidRPr="00C51F9F">
        <w:rPr>
          <w:sz w:val="26"/>
          <w:szCs w:val="26"/>
        </w:rPr>
        <w:t>group’s ideas</w:t>
      </w:r>
      <w:r w:rsidRPr="00C51F9F">
        <w:rPr>
          <w:sz w:val="26"/>
          <w:szCs w:val="26"/>
        </w:rPr>
        <w:t xml:space="preserve"> directly on the slide as </w:t>
      </w:r>
      <w:r w:rsidR="006B6B6B" w:rsidRPr="00C51F9F">
        <w:rPr>
          <w:sz w:val="26"/>
          <w:szCs w:val="26"/>
        </w:rPr>
        <w:t xml:space="preserve">they work </w:t>
      </w:r>
      <w:r w:rsidRPr="00C51F9F">
        <w:rPr>
          <w:sz w:val="26"/>
          <w:szCs w:val="26"/>
        </w:rPr>
        <w:t>through the activity.</w:t>
      </w:r>
      <w:r w:rsidR="65869A65" w:rsidRPr="00C51F9F">
        <w:rPr>
          <w:sz w:val="26"/>
          <w:szCs w:val="26"/>
        </w:rPr>
        <w:t xml:space="preserve"> </w:t>
      </w:r>
    </w:p>
    <w:p w14:paraId="686AC6FF" w14:textId="77777777" w:rsidR="006B6B6B" w:rsidRPr="00C51F9F" w:rsidRDefault="009B34C9" w:rsidP="006B6B6B">
      <w:pPr>
        <w:pStyle w:val="ListParagraph"/>
        <w:numPr>
          <w:ilvl w:val="0"/>
          <w:numId w:val="1"/>
        </w:numPr>
        <w:spacing w:before="60" w:after="60" w:line="240" w:lineRule="auto"/>
        <w:ind w:left="1166" w:hanging="446"/>
        <w:contextualSpacing w:val="0"/>
        <w:rPr>
          <w:sz w:val="26"/>
          <w:szCs w:val="26"/>
        </w:rPr>
      </w:pPr>
      <w:r w:rsidRPr="00C51F9F">
        <w:rPr>
          <w:sz w:val="26"/>
          <w:szCs w:val="26"/>
        </w:rPr>
        <w:t xml:space="preserve">You will share </w:t>
      </w:r>
      <w:r w:rsidR="006B6B6B" w:rsidRPr="00C51F9F">
        <w:rPr>
          <w:sz w:val="26"/>
          <w:szCs w:val="26"/>
        </w:rPr>
        <w:t>one key consideration and one potential learner support to address it</w:t>
      </w:r>
      <w:r w:rsidRPr="00C51F9F">
        <w:rPr>
          <w:sz w:val="26"/>
          <w:szCs w:val="26"/>
        </w:rPr>
        <w:t xml:space="preserve"> with the larger group during the activity debrief.</w:t>
      </w:r>
    </w:p>
    <w:p w14:paraId="4BD958C1" w14:textId="3A9FC9E3" w:rsidR="009B34C9" w:rsidRPr="00C51F9F" w:rsidRDefault="009B34C9" w:rsidP="79E53F44">
      <w:pPr>
        <w:pStyle w:val="ListParagraph"/>
        <w:numPr>
          <w:ilvl w:val="0"/>
          <w:numId w:val="23"/>
        </w:numPr>
        <w:spacing w:before="60" w:after="60" w:line="240" w:lineRule="auto"/>
        <w:ind w:left="1440" w:hanging="270"/>
        <w:rPr>
          <w:sz w:val="26"/>
          <w:szCs w:val="26"/>
        </w:rPr>
      </w:pPr>
      <w:r w:rsidRPr="00C51F9F">
        <w:rPr>
          <w:sz w:val="26"/>
          <w:szCs w:val="26"/>
          <w:shd w:val="clear" w:color="auto" w:fill="D9D9D9" w:themeFill="background1" w:themeFillShade="D9"/>
        </w:rPr>
        <w:t>[If virtual]</w:t>
      </w:r>
      <w:r w:rsidRPr="00C51F9F">
        <w:rPr>
          <w:sz w:val="26"/>
          <w:szCs w:val="26"/>
        </w:rPr>
        <w:t xml:space="preserve"> Copy and paste the </w:t>
      </w:r>
      <w:r w:rsidR="006B6B6B" w:rsidRPr="00C51F9F">
        <w:rPr>
          <w:sz w:val="26"/>
          <w:szCs w:val="26"/>
        </w:rPr>
        <w:t>group’s lists of key considerations and potential learner supports</w:t>
      </w:r>
      <w:r w:rsidRPr="00C51F9F">
        <w:rPr>
          <w:sz w:val="26"/>
          <w:szCs w:val="26"/>
        </w:rPr>
        <w:t xml:space="preserve"> into the chat window</w:t>
      </w:r>
      <w:r w:rsidR="2BBD1F61" w:rsidRPr="00C51F9F">
        <w:rPr>
          <w:sz w:val="26"/>
          <w:szCs w:val="26"/>
        </w:rPr>
        <w:t xml:space="preserve"> </w:t>
      </w:r>
      <w:r w:rsidR="00100BAE">
        <w:rPr>
          <w:sz w:val="26"/>
          <w:szCs w:val="26"/>
        </w:rPr>
        <w:t>once you are back in the main room</w:t>
      </w:r>
      <w:r w:rsidRPr="00C51F9F">
        <w:rPr>
          <w:sz w:val="26"/>
          <w:szCs w:val="26"/>
        </w:rPr>
        <w:t>.</w:t>
      </w:r>
    </w:p>
    <w:p w14:paraId="6139872A" w14:textId="1788F141" w:rsidR="00B50410" w:rsidRPr="000F4DBB" w:rsidRDefault="006B6B6B" w:rsidP="00664A1E">
      <w:pPr>
        <w:pStyle w:val="Heading2"/>
      </w:pPr>
      <w:r>
        <w:t>Examples of Key Considerations</w:t>
      </w:r>
      <w:r w:rsidR="00E57E23">
        <w:t>:</w:t>
      </w:r>
    </w:p>
    <w:p w14:paraId="298152EB" w14:textId="77777777" w:rsidR="00460ACA" w:rsidRDefault="00460ACA" w:rsidP="006B6B6B">
      <w:pPr>
        <w:pStyle w:val="ListParagraph"/>
        <w:numPr>
          <w:ilvl w:val="0"/>
          <w:numId w:val="21"/>
        </w:numPr>
        <w:spacing w:before="240"/>
        <w:ind w:left="1170"/>
        <w:contextualSpacing w:val="0"/>
        <w:rPr>
          <w:sz w:val="28"/>
          <w:szCs w:val="28"/>
        </w:rPr>
        <w:sectPr w:rsidR="00460ACA" w:rsidSect="00FC0BC9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9A15E1" w14:textId="295C33C6" w:rsidR="00E57E23" w:rsidRPr="00C51F9F" w:rsidRDefault="00FB1F2B" w:rsidP="00664A1E">
      <w:pPr>
        <w:pStyle w:val="Bullet1"/>
      </w:pPr>
      <w:r w:rsidRPr="7AF27539">
        <w:t>G</w:t>
      </w:r>
      <w:r w:rsidR="006B6B6B" w:rsidRPr="7AF27539">
        <w:t>et to work quickly</w:t>
      </w:r>
    </w:p>
    <w:p w14:paraId="2BC2A071" w14:textId="0E262BE9" w:rsidR="006B6B6B" w:rsidRPr="00C51F9F" w:rsidRDefault="006B6B6B" w:rsidP="00664A1E">
      <w:pPr>
        <w:pStyle w:val="Bullet1"/>
      </w:pPr>
      <w:r w:rsidRPr="00C51F9F">
        <w:t>Need supportive services (e.g., financial aid for tuition, books, expenses)</w:t>
      </w:r>
    </w:p>
    <w:p w14:paraId="696F3F97" w14:textId="1A0537B8" w:rsidR="006B6B6B" w:rsidRPr="00C51F9F" w:rsidRDefault="006B6B6B" w:rsidP="00664A1E">
      <w:pPr>
        <w:pStyle w:val="Bullet1"/>
      </w:pPr>
      <w:r w:rsidRPr="00C51F9F">
        <w:t xml:space="preserve">Varied interests (gardening, </w:t>
      </w:r>
      <w:r w:rsidR="00470711" w:rsidRPr="00C51F9F">
        <w:t xml:space="preserve">entrepreneurship, </w:t>
      </w:r>
      <w:r w:rsidRPr="00C51F9F">
        <w:t>nursing)</w:t>
      </w:r>
    </w:p>
    <w:p w14:paraId="00CD5A80" w14:textId="5D1BAB87" w:rsidR="006B6B6B" w:rsidRPr="00C51F9F" w:rsidRDefault="006B6B6B" w:rsidP="00664A1E">
      <w:pPr>
        <w:pStyle w:val="Bullet1"/>
      </w:pPr>
      <w:r w:rsidRPr="7AF27539">
        <w:t>Previous work experience in gardening</w:t>
      </w:r>
    </w:p>
    <w:p w14:paraId="6156CC5F" w14:textId="77777777" w:rsidR="00460ACA" w:rsidRDefault="00460ACA">
      <w:pPr>
        <w:rPr>
          <w:b/>
          <w:bCs/>
          <w:sz w:val="32"/>
          <w:szCs w:val="32"/>
        </w:rPr>
        <w:sectPr w:rsidR="00460ACA" w:rsidSect="00FB1F2B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017210D1" w14:textId="048AAFEE" w:rsidR="00FB1F2B" w:rsidRPr="000F4DBB" w:rsidRDefault="00FB1F2B" w:rsidP="00664A1E">
      <w:pPr>
        <w:pStyle w:val="Heading2"/>
      </w:pPr>
      <w:r>
        <w:t>Examples of Potential Learner Supports:</w:t>
      </w:r>
    </w:p>
    <w:p w14:paraId="0FFBCE70" w14:textId="77777777" w:rsidR="00FB1F2B" w:rsidRDefault="00FB1F2B" w:rsidP="00FB1F2B">
      <w:pPr>
        <w:pStyle w:val="ListParagraph"/>
        <w:numPr>
          <w:ilvl w:val="0"/>
          <w:numId w:val="21"/>
        </w:numPr>
        <w:spacing w:before="240"/>
        <w:ind w:left="1170"/>
        <w:contextualSpacing w:val="0"/>
        <w:rPr>
          <w:sz w:val="28"/>
          <w:szCs w:val="28"/>
        </w:rPr>
        <w:sectPr w:rsidR="00FB1F2B" w:rsidSect="00FB1F2B"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60B969" w14:textId="3A3E0DE6" w:rsidR="00FB1F2B" w:rsidRPr="00C51F9F" w:rsidRDefault="00FB1F2B" w:rsidP="00664A1E">
      <w:pPr>
        <w:pStyle w:val="Bullet1"/>
        <w:ind w:right="144"/>
      </w:pPr>
      <w:r w:rsidRPr="00C51F9F">
        <w:t>Career navigator</w:t>
      </w:r>
    </w:p>
    <w:p w14:paraId="23DA6591" w14:textId="77777777" w:rsidR="00664A1E" w:rsidRDefault="00FB1F2B" w:rsidP="00664A1E">
      <w:pPr>
        <w:pStyle w:val="Bullet1"/>
      </w:pPr>
      <w:r w:rsidRPr="00C51F9F">
        <w:t>Evidence-based reading instruction</w:t>
      </w:r>
    </w:p>
    <w:p w14:paraId="572A8542" w14:textId="37787983" w:rsidR="00FB1F2B" w:rsidRPr="00C51F9F" w:rsidRDefault="00664A1E" w:rsidP="00664A1E">
      <w:pPr>
        <w:pStyle w:val="Bullet1"/>
        <w:ind w:right="144"/>
      </w:pPr>
      <w:r>
        <w:br w:type="column"/>
      </w:r>
      <w:r w:rsidR="00322B61" w:rsidRPr="00C51F9F">
        <w:t>Interest and transferrable skills inventory</w:t>
      </w:r>
    </w:p>
    <w:p w14:paraId="6F78B67C" w14:textId="77777777" w:rsidR="006A03CF" w:rsidRDefault="00322B61" w:rsidP="00664A1E">
      <w:pPr>
        <w:pStyle w:val="Bullet1"/>
        <w:ind w:right="144"/>
        <w:rPr>
          <w:b/>
          <w:bCs/>
          <w:sz w:val="28"/>
          <w:szCs w:val="28"/>
        </w:rPr>
      </w:pPr>
      <w:r w:rsidRPr="00C51F9F">
        <w:t>Bring employers into the classroom</w:t>
      </w:r>
      <w:r w:rsidR="006A03CF">
        <w:rPr>
          <w:b/>
          <w:bCs/>
          <w:sz w:val="28"/>
          <w:szCs w:val="28"/>
        </w:rPr>
        <w:br w:type="page"/>
      </w:r>
    </w:p>
    <w:p w14:paraId="03387D10" w14:textId="04FDA265" w:rsidR="00FB1F2B" w:rsidRPr="00CC60B1" w:rsidRDefault="00FB1F2B" w:rsidP="00FB1F2B">
      <w:pPr>
        <w:pStyle w:val="ListParagraph"/>
        <w:numPr>
          <w:ilvl w:val="0"/>
          <w:numId w:val="21"/>
        </w:numPr>
        <w:spacing w:before="40" w:after="40" w:line="240" w:lineRule="auto"/>
        <w:ind w:left="720"/>
        <w:contextualSpacing w:val="0"/>
        <w:rPr>
          <w:sz w:val="26"/>
          <w:szCs w:val="26"/>
        </w:rPr>
        <w:sectPr w:rsidR="00FB1F2B" w:rsidRPr="00CC60B1" w:rsidSect="00FB1F2B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3BB4E6E9" w14:textId="000D1498" w:rsidR="00460ACA" w:rsidRPr="00460ACA" w:rsidRDefault="00460ACA" w:rsidP="00664A1E">
      <w:pPr>
        <w:pStyle w:val="Heading2"/>
      </w:pPr>
      <w:r w:rsidRPr="00460ACA">
        <w:lastRenderedPageBreak/>
        <w:t xml:space="preserve">Key </w:t>
      </w:r>
      <w:r w:rsidR="00322B61">
        <w:t>Considerations</w:t>
      </w:r>
    </w:p>
    <w:p w14:paraId="1061BE71" w14:textId="20F11A4D" w:rsidR="00460ACA" w:rsidRPr="00D05BDD" w:rsidRDefault="00D05BDD" w:rsidP="00664A1E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considerations</w:t>
      </w:r>
    </w:p>
    <w:p w14:paraId="1EC5623C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15565F0E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2D896BF6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0BFF87F9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6510197F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35AF0643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16900C1D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2F2D6ADC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7C6947D8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287CE57D" w14:textId="772E9C99" w:rsidR="00322B61" w:rsidRPr="00460ACA" w:rsidRDefault="00322B61" w:rsidP="00664A1E">
      <w:pPr>
        <w:pStyle w:val="Heading2"/>
      </w:pPr>
      <w:r>
        <w:t>Potential Learner Supports</w:t>
      </w:r>
    </w:p>
    <w:p w14:paraId="1D21C1BC" w14:textId="00CEF971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 xml:space="preserve">Blank area to write </w:t>
      </w:r>
      <w:r w:rsidRPr="00D05BDD">
        <w:rPr>
          <w:color w:val="FFFFFF" w:themeColor="background1"/>
        </w:rPr>
        <w:t>learner supports</w:t>
      </w:r>
    </w:p>
    <w:p w14:paraId="03BAACC6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2B82EC91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58BA38D6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7B23527D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15208311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1B50EE2E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0ACE2DBC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22BD42AA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p w14:paraId="51B34488" w14:textId="77777777" w:rsidR="00D05BDD" w:rsidRPr="00D05BDD" w:rsidRDefault="00D05BDD" w:rsidP="00D05BDD">
      <w:pPr>
        <w:pStyle w:val="Bullet1"/>
        <w:rPr>
          <w:color w:val="FFFFFF" w:themeColor="background1"/>
        </w:rPr>
      </w:pPr>
      <w:r w:rsidRPr="00D05BDD">
        <w:rPr>
          <w:color w:val="FFFFFF" w:themeColor="background1"/>
        </w:rPr>
        <w:t>Blank area to write learner supports</w:t>
      </w:r>
    </w:p>
    <w:bookmarkEnd w:id="0"/>
    <w:sectPr w:rsidR="00D05BDD" w:rsidRPr="00D05BDD" w:rsidSect="00460AC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C5D6" w14:textId="77777777" w:rsidR="00DB1309" w:rsidRDefault="00DB1309" w:rsidP="00801AA7">
      <w:pPr>
        <w:spacing w:after="0" w:line="240" w:lineRule="auto"/>
      </w:pPr>
      <w:r>
        <w:separator/>
      </w:r>
    </w:p>
  </w:endnote>
  <w:endnote w:type="continuationSeparator" w:id="0">
    <w:p w14:paraId="4692C3F6" w14:textId="77777777" w:rsidR="00DB1309" w:rsidRDefault="00DB1309" w:rsidP="00801AA7">
      <w:pPr>
        <w:spacing w:after="0" w:line="240" w:lineRule="auto"/>
      </w:pPr>
      <w:r>
        <w:continuationSeparator/>
      </w:r>
    </w:p>
  </w:endnote>
  <w:endnote w:type="continuationNotice" w:id="1">
    <w:p w14:paraId="20579835" w14:textId="77777777" w:rsidR="00DB1309" w:rsidRDefault="00DB1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charset w:val="00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F798" w14:textId="3FA361E7" w:rsidR="00801AA7" w:rsidRPr="00801AA7" w:rsidRDefault="000C750A" w:rsidP="00801AA7">
    <w:pPr>
      <w:pStyle w:val="Footer"/>
      <w:pBdr>
        <w:top w:val="single" w:sz="4" w:space="1" w:color="auto"/>
      </w:pBdr>
      <w:rPr>
        <w:sz w:val="20"/>
        <w:szCs w:val="20"/>
      </w:rPr>
    </w:pPr>
    <w:r w:rsidRPr="00B778DF">
      <w:rPr>
        <w:sz w:val="20"/>
        <w:szCs w:val="20"/>
      </w:rPr>
      <w:t xml:space="preserve">IET Design Camp – </w:t>
    </w:r>
    <w:r>
      <w:rPr>
        <w:sz w:val="20"/>
        <w:szCs w:val="20"/>
      </w:rPr>
      <w:t>Facilitator Guide for Phase</w:t>
    </w:r>
    <w:r w:rsidRPr="00B778DF">
      <w:rPr>
        <w:sz w:val="20"/>
        <w:szCs w:val="20"/>
      </w:rPr>
      <w:t xml:space="preserve"> </w:t>
    </w:r>
    <w:r>
      <w:rPr>
        <w:sz w:val="20"/>
        <w:szCs w:val="20"/>
      </w:rPr>
      <w:t>2</w:t>
    </w:r>
    <w:r w:rsidRPr="00B778DF">
      <w:rPr>
        <w:sz w:val="20"/>
        <w:szCs w:val="20"/>
      </w:rPr>
      <w:t xml:space="preserve">: </w:t>
    </w:r>
    <w:r>
      <w:rPr>
        <w:sz w:val="20"/>
        <w:szCs w:val="20"/>
      </w:rPr>
      <w:t>Design and Plan Breakout Activity 2</w:t>
    </w:r>
    <w:r>
      <w:rPr>
        <w:sz w:val="20"/>
        <w:szCs w:val="20"/>
      </w:rPr>
      <w:tab/>
    </w:r>
    <w:r w:rsidRPr="00B778DF">
      <w:rPr>
        <w:sz w:val="20"/>
        <w:szCs w:val="20"/>
      </w:rPr>
      <w:tab/>
    </w:r>
    <w:r w:rsidRPr="00B778DF">
      <w:rPr>
        <w:sz w:val="20"/>
        <w:szCs w:val="20"/>
      </w:rPr>
      <w:fldChar w:fldCharType="begin"/>
    </w:r>
    <w:r w:rsidRPr="00B778DF">
      <w:rPr>
        <w:sz w:val="20"/>
        <w:szCs w:val="20"/>
      </w:rPr>
      <w:instrText xml:space="preserve"> PAGE   \* MERGEFORMAT </w:instrText>
    </w:r>
    <w:r w:rsidRPr="00B778DF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B778D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62C3" w14:textId="76B12B22" w:rsidR="00FB1F2B" w:rsidRPr="00801AA7" w:rsidRDefault="004B7BC7" w:rsidP="00801AA7">
    <w:pPr>
      <w:pStyle w:val="Footer"/>
      <w:pBdr>
        <w:top w:val="single" w:sz="4" w:space="1" w:color="auto"/>
      </w:pBdr>
      <w:rPr>
        <w:sz w:val="20"/>
        <w:szCs w:val="20"/>
      </w:rPr>
    </w:pPr>
    <w:r w:rsidRPr="00B778DF">
      <w:rPr>
        <w:sz w:val="20"/>
        <w:szCs w:val="20"/>
      </w:rPr>
      <w:t xml:space="preserve">IET Design Camp – </w:t>
    </w:r>
    <w:r>
      <w:rPr>
        <w:sz w:val="20"/>
        <w:szCs w:val="20"/>
      </w:rPr>
      <w:t>Facilitator Guide for Phase</w:t>
    </w:r>
    <w:r w:rsidRPr="00B778DF">
      <w:rPr>
        <w:sz w:val="20"/>
        <w:szCs w:val="20"/>
      </w:rPr>
      <w:t xml:space="preserve"> </w:t>
    </w:r>
    <w:r>
      <w:rPr>
        <w:sz w:val="20"/>
        <w:szCs w:val="20"/>
      </w:rPr>
      <w:t>2</w:t>
    </w:r>
    <w:r w:rsidRPr="00B778DF">
      <w:rPr>
        <w:sz w:val="20"/>
        <w:szCs w:val="20"/>
      </w:rPr>
      <w:t xml:space="preserve">: </w:t>
    </w:r>
    <w:r>
      <w:rPr>
        <w:sz w:val="20"/>
        <w:szCs w:val="20"/>
      </w:rPr>
      <w:t>Design and Plan Breakout Activity 2</w:t>
    </w:r>
    <w:r>
      <w:rPr>
        <w:sz w:val="20"/>
        <w:szCs w:val="20"/>
      </w:rPr>
      <w:tab/>
    </w:r>
    <w:r w:rsidRPr="00B778DF">
      <w:rPr>
        <w:sz w:val="20"/>
        <w:szCs w:val="20"/>
      </w:rPr>
      <w:tab/>
    </w:r>
    <w:r w:rsidRPr="00B778DF">
      <w:rPr>
        <w:sz w:val="20"/>
        <w:szCs w:val="20"/>
      </w:rPr>
      <w:fldChar w:fldCharType="begin"/>
    </w:r>
    <w:r w:rsidRPr="00B778DF">
      <w:rPr>
        <w:sz w:val="20"/>
        <w:szCs w:val="20"/>
      </w:rPr>
      <w:instrText xml:space="preserve"> PAGE   \* MERGEFORMAT </w:instrText>
    </w:r>
    <w:r w:rsidRPr="00B778DF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B778D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F4F9" w14:textId="77777777" w:rsidR="00DB1309" w:rsidRDefault="00DB1309" w:rsidP="00801AA7">
      <w:pPr>
        <w:spacing w:after="0" w:line="240" w:lineRule="auto"/>
      </w:pPr>
      <w:r>
        <w:separator/>
      </w:r>
    </w:p>
  </w:footnote>
  <w:footnote w:type="continuationSeparator" w:id="0">
    <w:p w14:paraId="1336C502" w14:textId="77777777" w:rsidR="00DB1309" w:rsidRDefault="00DB1309" w:rsidP="00801AA7">
      <w:pPr>
        <w:spacing w:after="0" w:line="240" w:lineRule="auto"/>
      </w:pPr>
      <w:r>
        <w:continuationSeparator/>
      </w:r>
    </w:p>
  </w:footnote>
  <w:footnote w:type="continuationNotice" w:id="1">
    <w:p w14:paraId="5BB57B47" w14:textId="77777777" w:rsidR="00DB1309" w:rsidRDefault="00DB13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8A63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C6B4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7C8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8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FE14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F2B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1CA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6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48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7117"/>
    <w:multiLevelType w:val="hybridMultilevel"/>
    <w:tmpl w:val="97806F52"/>
    <w:lvl w:ilvl="0" w:tplc="951A89C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F61C9C"/>
    <w:multiLevelType w:val="hybridMultilevel"/>
    <w:tmpl w:val="95EE54AE"/>
    <w:lvl w:ilvl="0" w:tplc="E9DE717E">
      <w:start w:val="1"/>
      <w:numFmt w:val="bullet"/>
      <w:lvlText w:val=""/>
      <w:lvlJc w:val="left"/>
      <w:rPr>
        <w:rFonts w:ascii="Wingdings" w:hAnsi="Wingdings" w:hint="default"/>
        <w:color w:val="806000" w:themeColor="accent4" w:themeShade="8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C7BD7"/>
    <w:multiLevelType w:val="hybridMultilevel"/>
    <w:tmpl w:val="90BE6BA4"/>
    <w:lvl w:ilvl="0" w:tplc="E494B9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A8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4A9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E5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A4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4A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4D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F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EE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7F4A4C"/>
    <w:multiLevelType w:val="hybridMultilevel"/>
    <w:tmpl w:val="EF46CFBE"/>
    <w:lvl w:ilvl="0" w:tplc="F364D464">
      <w:start w:val="1"/>
      <w:numFmt w:val="bullet"/>
      <w:lvlText w:val="n"/>
      <w:lvlJc w:val="left"/>
      <w:rPr>
        <w:rFonts w:ascii="Wingdings" w:hAnsi="Wingdings" w:hint="default"/>
        <w:color w:val="806000" w:themeColor="accent4" w:themeShade="8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7555136"/>
    <w:multiLevelType w:val="hybridMultilevel"/>
    <w:tmpl w:val="ABF8CA0A"/>
    <w:lvl w:ilvl="0" w:tplc="7FDEC9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BF8F00" w:themeColor="accent4" w:themeShade="BF"/>
      </w:rPr>
    </w:lvl>
    <w:lvl w:ilvl="1" w:tplc="7FDEC9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BF8F00" w:themeColor="accent4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B764F"/>
    <w:multiLevelType w:val="hybridMultilevel"/>
    <w:tmpl w:val="2758A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1115BE"/>
    <w:multiLevelType w:val="hybridMultilevel"/>
    <w:tmpl w:val="BAE8C4DA"/>
    <w:lvl w:ilvl="0" w:tplc="606476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E3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C0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65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8C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E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8E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69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68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455B2"/>
    <w:multiLevelType w:val="hybridMultilevel"/>
    <w:tmpl w:val="8A0A35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0D344F"/>
    <w:multiLevelType w:val="hybridMultilevel"/>
    <w:tmpl w:val="7D96679A"/>
    <w:lvl w:ilvl="0" w:tplc="EBCA52C8">
      <w:start w:val="1"/>
      <w:numFmt w:val="bullet"/>
      <w:pStyle w:val="Bullet1"/>
      <w:lvlText w:val=""/>
      <w:lvlJc w:val="left"/>
      <w:pPr>
        <w:ind w:left="6840" w:hanging="360"/>
      </w:pPr>
      <w:rPr>
        <w:rFonts w:ascii="Wingdings" w:hAnsi="Wingdings" w:hint="default"/>
        <w:color w:val="806000" w:themeColor="accent4" w:themeShade="8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02AAB"/>
    <w:multiLevelType w:val="hybridMultilevel"/>
    <w:tmpl w:val="1FC8C58E"/>
    <w:lvl w:ilvl="0" w:tplc="951A89C0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229AE"/>
    <w:multiLevelType w:val="hybridMultilevel"/>
    <w:tmpl w:val="547A49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1439FE"/>
    <w:multiLevelType w:val="hybridMultilevel"/>
    <w:tmpl w:val="F21495FC"/>
    <w:lvl w:ilvl="0" w:tplc="59B6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62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E3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85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A7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8A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A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CB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20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324E3"/>
    <w:multiLevelType w:val="hybridMultilevel"/>
    <w:tmpl w:val="FFFFFFFF"/>
    <w:lvl w:ilvl="0" w:tplc="9AF6486E">
      <w:start w:val="1"/>
      <w:numFmt w:val="decimal"/>
      <w:lvlText w:val="%1."/>
      <w:lvlJc w:val="left"/>
      <w:pPr>
        <w:ind w:left="720" w:hanging="360"/>
      </w:pPr>
    </w:lvl>
    <w:lvl w:ilvl="1" w:tplc="337C763C">
      <w:start w:val="1"/>
      <w:numFmt w:val="lowerLetter"/>
      <w:lvlText w:val="%2."/>
      <w:lvlJc w:val="left"/>
      <w:pPr>
        <w:ind w:left="1440" w:hanging="360"/>
      </w:pPr>
    </w:lvl>
    <w:lvl w:ilvl="2" w:tplc="3CC2335E">
      <w:start w:val="1"/>
      <w:numFmt w:val="lowerRoman"/>
      <w:lvlText w:val="%3."/>
      <w:lvlJc w:val="right"/>
      <w:pPr>
        <w:ind w:left="2160" w:hanging="180"/>
      </w:pPr>
    </w:lvl>
    <w:lvl w:ilvl="3" w:tplc="EEDADB30">
      <w:start w:val="1"/>
      <w:numFmt w:val="decimal"/>
      <w:lvlText w:val="%4."/>
      <w:lvlJc w:val="left"/>
      <w:pPr>
        <w:ind w:left="2880" w:hanging="360"/>
      </w:pPr>
    </w:lvl>
    <w:lvl w:ilvl="4" w:tplc="794A9216">
      <w:start w:val="1"/>
      <w:numFmt w:val="lowerLetter"/>
      <w:lvlText w:val="%5."/>
      <w:lvlJc w:val="left"/>
      <w:pPr>
        <w:ind w:left="3600" w:hanging="360"/>
      </w:pPr>
    </w:lvl>
    <w:lvl w:ilvl="5" w:tplc="DCEA8C76">
      <w:start w:val="1"/>
      <w:numFmt w:val="lowerRoman"/>
      <w:lvlText w:val="%6."/>
      <w:lvlJc w:val="right"/>
      <w:pPr>
        <w:ind w:left="4320" w:hanging="180"/>
      </w:pPr>
    </w:lvl>
    <w:lvl w:ilvl="6" w:tplc="FED02EF2">
      <w:start w:val="1"/>
      <w:numFmt w:val="decimal"/>
      <w:lvlText w:val="%7."/>
      <w:lvlJc w:val="left"/>
      <w:pPr>
        <w:ind w:left="5040" w:hanging="360"/>
      </w:pPr>
    </w:lvl>
    <w:lvl w:ilvl="7" w:tplc="70829730">
      <w:start w:val="1"/>
      <w:numFmt w:val="lowerLetter"/>
      <w:lvlText w:val="%8."/>
      <w:lvlJc w:val="left"/>
      <w:pPr>
        <w:ind w:left="5760" w:hanging="360"/>
      </w:pPr>
    </w:lvl>
    <w:lvl w:ilvl="8" w:tplc="A70611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A25A8"/>
    <w:multiLevelType w:val="hybridMultilevel"/>
    <w:tmpl w:val="AE489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9DE717E">
      <w:start w:val="1"/>
      <w:numFmt w:val="bullet"/>
      <w:lvlText w:val=""/>
      <w:lvlJc w:val="left"/>
      <w:rPr>
        <w:rFonts w:ascii="Wingdings" w:hAnsi="Wingdings" w:hint="default"/>
        <w:color w:val="806000" w:themeColor="accent4" w:themeShade="8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47FE0"/>
    <w:multiLevelType w:val="hybridMultilevel"/>
    <w:tmpl w:val="284E95F0"/>
    <w:lvl w:ilvl="0" w:tplc="0409000F">
      <w:start w:val="1"/>
      <w:numFmt w:val="decimal"/>
      <w:lvlText w:val="%1."/>
      <w:lvlJc w:val="left"/>
      <w:pPr>
        <w:ind w:left="1612" w:hanging="360"/>
      </w:pPr>
    </w:lvl>
    <w:lvl w:ilvl="1" w:tplc="04090019">
      <w:start w:val="1"/>
      <w:numFmt w:val="lowerLetter"/>
      <w:lvlText w:val="%2."/>
      <w:lvlJc w:val="left"/>
      <w:pPr>
        <w:ind w:left="2332" w:hanging="360"/>
      </w:pPr>
    </w:lvl>
    <w:lvl w:ilvl="2" w:tplc="0409001B" w:tentative="1">
      <w:start w:val="1"/>
      <w:numFmt w:val="lowerRoman"/>
      <w:lvlText w:val="%3."/>
      <w:lvlJc w:val="right"/>
      <w:pPr>
        <w:ind w:left="3052" w:hanging="180"/>
      </w:pPr>
    </w:lvl>
    <w:lvl w:ilvl="3" w:tplc="0409000F" w:tentative="1">
      <w:start w:val="1"/>
      <w:numFmt w:val="decimal"/>
      <w:lvlText w:val="%4."/>
      <w:lvlJc w:val="left"/>
      <w:pPr>
        <w:ind w:left="3772" w:hanging="360"/>
      </w:pPr>
    </w:lvl>
    <w:lvl w:ilvl="4" w:tplc="04090019" w:tentative="1">
      <w:start w:val="1"/>
      <w:numFmt w:val="lowerLetter"/>
      <w:lvlText w:val="%5."/>
      <w:lvlJc w:val="left"/>
      <w:pPr>
        <w:ind w:left="4492" w:hanging="360"/>
      </w:pPr>
    </w:lvl>
    <w:lvl w:ilvl="5" w:tplc="0409001B" w:tentative="1">
      <w:start w:val="1"/>
      <w:numFmt w:val="lowerRoman"/>
      <w:lvlText w:val="%6."/>
      <w:lvlJc w:val="right"/>
      <w:pPr>
        <w:ind w:left="5212" w:hanging="180"/>
      </w:pPr>
    </w:lvl>
    <w:lvl w:ilvl="6" w:tplc="0409000F" w:tentative="1">
      <w:start w:val="1"/>
      <w:numFmt w:val="decimal"/>
      <w:lvlText w:val="%7."/>
      <w:lvlJc w:val="left"/>
      <w:pPr>
        <w:ind w:left="5932" w:hanging="360"/>
      </w:pPr>
    </w:lvl>
    <w:lvl w:ilvl="7" w:tplc="04090019" w:tentative="1">
      <w:start w:val="1"/>
      <w:numFmt w:val="lowerLetter"/>
      <w:lvlText w:val="%8."/>
      <w:lvlJc w:val="left"/>
      <w:pPr>
        <w:ind w:left="6652" w:hanging="360"/>
      </w:pPr>
    </w:lvl>
    <w:lvl w:ilvl="8" w:tplc="040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5" w15:restartNumberingAfterBreak="0">
    <w:nsid w:val="5CF611A6"/>
    <w:multiLevelType w:val="hybridMultilevel"/>
    <w:tmpl w:val="92DECD9C"/>
    <w:lvl w:ilvl="0" w:tplc="F364D464">
      <w:start w:val="1"/>
      <w:numFmt w:val="bullet"/>
      <w:lvlText w:val="n"/>
      <w:lvlJc w:val="left"/>
      <w:pPr>
        <w:ind w:left="2160" w:hanging="360"/>
      </w:pPr>
      <w:rPr>
        <w:rFonts w:ascii="Wingdings" w:hAnsi="Wingdings" w:hint="default"/>
        <w:color w:val="806000" w:themeColor="accent4" w:themeShade="80"/>
        <w:sz w:val="14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813CC8"/>
    <w:multiLevelType w:val="hybridMultilevel"/>
    <w:tmpl w:val="044421AC"/>
    <w:lvl w:ilvl="0" w:tplc="162C0738">
      <w:start w:val="1"/>
      <w:numFmt w:val="bullet"/>
      <w:lvlText w:val="−"/>
      <w:lvlJc w:val="left"/>
      <w:rPr>
        <w:rFonts w:ascii="Verdana Pro" w:hAnsi="Verdana Pro" w:hint="default"/>
        <w:b/>
        <w:i w:val="0"/>
        <w:color w:val="806000" w:themeColor="accent4" w:themeShade="80"/>
        <w:sz w:val="14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20219A9"/>
    <w:multiLevelType w:val="hybridMultilevel"/>
    <w:tmpl w:val="282C67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5F916A3"/>
    <w:multiLevelType w:val="hybridMultilevel"/>
    <w:tmpl w:val="20D4B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7D76E0"/>
    <w:multiLevelType w:val="hybridMultilevel"/>
    <w:tmpl w:val="87846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183D11"/>
    <w:multiLevelType w:val="hybridMultilevel"/>
    <w:tmpl w:val="CFCECC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DFE3E41"/>
    <w:multiLevelType w:val="hybridMultilevel"/>
    <w:tmpl w:val="1610CC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FB50530"/>
    <w:multiLevelType w:val="hybridMultilevel"/>
    <w:tmpl w:val="80465F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2"/>
  </w:num>
  <w:num w:numId="5">
    <w:abstractNumId w:val="29"/>
  </w:num>
  <w:num w:numId="6">
    <w:abstractNumId w:val="30"/>
  </w:num>
  <w:num w:numId="7">
    <w:abstractNumId w:val="25"/>
  </w:num>
  <w:num w:numId="8">
    <w:abstractNumId w:val="13"/>
  </w:num>
  <w:num w:numId="9">
    <w:abstractNumId w:val="15"/>
  </w:num>
  <w:num w:numId="10">
    <w:abstractNumId w:val="12"/>
    <w:lvlOverride w:ilvl="0">
      <w:lvl w:ilvl="0" w:tplc="E494B98A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1">
      <w:lvl w:ilvl="1" w:tplc="951A89C0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B4A9AD0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A4AE59CA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F62A477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5394ABCA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E6A4D89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724AFC94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74DEE7F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0"/>
  </w:num>
  <w:num w:numId="12">
    <w:abstractNumId w:val="28"/>
  </w:num>
  <w:num w:numId="13">
    <w:abstractNumId w:val="27"/>
  </w:num>
  <w:num w:numId="14">
    <w:abstractNumId w:val="31"/>
  </w:num>
  <w:num w:numId="15">
    <w:abstractNumId w:val="26"/>
  </w:num>
  <w:num w:numId="16">
    <w:abstractNumId w:val="19"/>
  </w:num>
  <w:num w:numId="17">
    <w:abstractNumId w:val="32"/>
  </w:num>
  <w:num w:numId="18">
    <w:abstractNumId w:val="10"/>
  </w:num>
  <w:num w:numId="19">
    <w:abstractNumId w:val="17"/>
  </w:num>
  <w:num w:numId="20">
    <w:abstractNumId w:val="14"/>
  </w:num>
  <w:num w:numId="21">
    <w:abstractNumId w:val="18"/>
  </w:num>
  <w:num w:numId="22">
    <w:abstractNumId w:val="23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B0"/>
    <w:rsid w:val="000A17F2"/>
    <w:rsid w:val="000C092E"/>
    <w:rsid w:val="000C4AAB"/>
    <w:rsid w:val="000C750A"/>
    <w:rsid w:val="000F4DBB"/>
    <w:rsid w:val="00100BAE"/>
    <w:rsid w:val="00110D4F"/>
    <w:rsid w:val="00133C9D"/>
    <w:rsid w:val="001437C2"/>
    <w:rsid w:val="00164327"/>
    <w:rsid w:val="001D37F6"/>
    <w:rsid w:val="00210767"/>
    <w:rsid w:val="00214128"/>
    <w:rsid w:val="00242773"/>
    <w:rsid w:val="00243617"/>
    <w:rsid w:val="002565B4"/>
    <w:rsid w:val="00267562"/>
    <w:rsid w:val="00281025"/>
    <w:rsid w:val="002956EE"/>
    <w:rsid w:val="002C5FFE"/>
    <w:rsid w:val="002E3BDF"/>
    <w:rsid w:val="002F10A0"/>
    <w:rsid w:val="00322B61"/>
    <w:rsid w:val="003312D3"/>
    <w:rsid w:val="003323B7"/>
    <w:rsid w:val="00357A21"/>
    <w:rsid w:val="00372F46"/>
    <w:rsid w:val="00380E0C"/>
    <w:rsid w:val="003A7A8A"/>
    <w:rsid w:val="00413CA5"/>
    <w:rsid w:val="00460ACA"/>
    <w:rsid w:val="00470711"/>
    <w:rsid w:val="00471BA1"/>
    <w:rsid w:val="00474AE4"/>
    <w:rsid w:val="004811BE"/>
    <w:rsid w:val="004B7BC7"/>
    <w:rsid w:val="004C07C1"/>
    <w:rsid w:val="004C23A3"/>
    <w:rsid w:val="004C26D6"/>
    <w:rsid w:val="00533556"/>
    <w:rsid w:val="00555118"/>
    <w:rsid w:val="005B0C27"/>
    <w:rsid w:val="005E2108"/>
    <w:rsid w:val="005E3F5E"/>
    <w:rsid w:val="005F5640"/>
    <w:rsid w:val="005F7350"/>
    <w:rsid w:val="0060343B"/>
    <w:rsid w:val="006526EC"/>
    <w:rsid w:val="00664A1E"/>
    <w:rsid w:val="006842C5"/>
    <w:rsid w:val="006856BA"/>
    <w:rsid w:val="006A03CF"/>
    <w:rsid w:val="006B433C"/>
    <w:rsid w:val="006B6B6B"/>
    <w:rsid w:val="006C415A"/>
    <w:rsid w:val="0074644A"/>
    <w:rsid w:val="00755AB5"/>
    <w:rsid w:val="00763AF4"/>
    <w:rsid w:val="00790B8B"/>
    <w:rsid w:val="00796896"/>
    <w:rsid w:val="007B445A"/>
    <w:rsid w:val="007E1544"/>
    <w:rsid w:val="00801AA7"/>
    <w:rsid w:val="008041C1"/>
    <w:rsid w:val="00861F7B"/>
    <w:rsid w:val="00865875"/>
    <w:rsid w:val="0088083C"/>
    <w:rsid w:val="00883E14"/>
    <w:rsid w:val="00890756"/>
    <w:rsid w:val="008B7D77"/>
    <w:rsid w:val="008F6391"/>
    <w:rsid w:val="00916523"/>
    <w:rsid w:val="00945F40"/>
    <w:rsid w:val="0097321C"/>
    <w:rsid w:val="00993D8F"/>
    <w:rsid w:val="00996784"/>
    <w:rsid w:val="009A1107"/>
    <w:rsid w:val="009B34C9"/>
    <w:rsid w:val="009D49B0"/>
    <w:rsid w:val="00A0141C"/>
    <w:rsid w:val="00A12CFF"/>
    <w:rsid w:val="00A1303A"/>
    <w:rsid w:val="00A17036"/>
    <w:rsid w:val="00A203EA"/>
    <w:rsid w:val="00A27920"/>
    <w:rsid w:val="00A3336D"/>
    <w:rsid w:val="00A33E02"/>
    <w:rsid w:val="00A54021"/>
    <w:rsid w:val="00A57231"/>
    <w:rsid w:val="00A57C4C"/>
    <w:rsid w:val="00AD0E71"/>
    <w:rsid w:val="00AD5CBA"/>
    <w:rsid w:val="00B257FE"/>
    <w:rsid w:val="00B414AF"/>
    <w:rsid w:val="00B50410"/>
    <w:rsid w:val="00B63D84"/>
    <w:rsid w:val="00B708FD"/>
    <w:rsid w:val="00BA33A0"/>
    <w:rsid w:val="00BB0677"/>
    <w:rsid w:val="00BD7B99"/>
    <w:rsid w:val="00BE7A75"/>
    <w:rsid w:val="00C23502"/>
    <w:rsid w:val="00C255F0"/>
    <w:rsid w:val="00C32551"/>
    <w:rsid w:val="00C332C4"/>
    <w:rsid w:val="00C466B3"/>
    <w:rsid w:val="00C51F9F"/>
    <w:rsid w:val="00C862BA"/>
    <w:rsid w:val="00CA5043"/>
    <w:rsid w:val="00CC60B1"/>
    <w:rsid w:val="00CC6A41"/>
    <w:rsid w:val="00D05BDD"/>
    <w:rsid w:val="00D22030"/>
    <w:rsid w:val="00D22F36"/>
    <w:rsid w:val="00D241D7"/>
    <w:rsid w:val="00D252BD"/>
    <w:rsid w:val="00D634F5"/>
    <w:rsid w:val="00D81C91"/>
    <w:rsid w:val="00DB1309"/>
    <w:rsid w:val="00DB24B4"/>
    <w:rsid w:val="00DF0CF5"/>
    <w:rsid w:val="00DF1EE7"/>
    <w:rsid w:val="00E40B90"/>
    <w:rsid w:val="00E57E23"/>
    <w:rsid w:val="00E767A0"/>
    <w:rsid w:val="00E80A6C"/>
    <w:rsid w:val="00EE46ED"/>
    <w:rsid w:val="00EF6D81"/>
    <w:rsid w:val="00F12A5C"/>
    <w:rsid w:val="00F23E40"/>
    <w:rsid w:val="00FB1F2B"/>
    <w:rsid w:val="00FC0BC9"/>
    <w:rsid w:val="0542E28F"/>
    <w:rsid w:val="05D3C0D9"/>
    <w:rsid w:val="0AD1B76C"/>
    <w:rsid w:val="14DA0929"/>
    <w:rsid w:val="18F4C0A7"/>
    <w:rsid w:val="21ABBA36"/>
    <w:rsid w:val="24AFB9F1"/>
    <w:rsid w:val="2BBD1F61"/>
    <w:rsid w:val="2F928741"/>
    <w:rsid w:val="433DFF10"/>
    <w:rsid w:val="520E3637"/>
    <w:rsid w:val="528BB67E"/>
    <w:rsid w:val="65869A65"/>
    <w:rsid w:val="6770545D"/>
    <w:rsid w:val="77621A9E"/>
    <w:rsid w:val="79E53F44"/>
    <w:rsid w:val="7AF27539"/>
    <w:rsid w:val="7E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59C8"/>
  <w15:chartTrackingRefBased/>
  <w15:docId w15:val="{8CBF1D1C-486F-4E4E-924A-83970CF1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1E"/>
  </w:style>
  <w:style w:type="paragraph" w:styleId="Heading1">
    <w:name w:val="heading 1"/>
    <w:basedOn w:val="Normal"/>
    <w:next w:val="Normal"/>
    <w:link w:val="Heading1Char"/>
    <w:uiPriority w:val="9"/>
    <w:qFormat/>
    <w:rsid w:val="00664A1E"/>
    <w:pPr>
      <w:spacing w:after="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A1E"/>
    <w:pPr>
      <w:pBdr>
        <w:top w:val="single" w:sz="4" w:space="1" w:color="auto"/>
      </w:pBdr>
      <w:spacing w:before="120" w:after="120"/>
      <w:ind w:left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2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A7"/>
  </w:style>
  <w:style w:type="paragraph" w:styleId="Footer">
    <w:name w:val="footer"/>
    <w:basedOn w:val="Normal"/>
    <w:link w:val="FooterChar"/>
    <w:uiPriority w:val="99"/>
    <w:unhideWhenUsed/>
    <w:rsid w:val="0080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A7"/>
  </w:style>
  <w:style w:type="paragraph" w:styleId="Revision">
    <w:name w:val="Revision"/>
    <w:hidden/>
    <w:uiPriority w:val="99"/>
    <w:semiHidden/>
    <w:rsid w:val="00755AB5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qFormat/>
    <w:rsid w:val="00664A1E"/>
    <w:pPr>
      <w:spacing w:after="0"/>
      <w:ind w:left="35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64A1E"/>
    <w:rPr>
      <w:sz w:val="24"/>
      <w:szCs w:val="24"/>
    </w:rPr>
  </w:style>
  <w:style w:type="character" w:customStyle="1" w:styleId="normaltextrun">
    <w:name w:val="normaltextrun"/>
    <w:basedOn w:val="DefaultParagraphFont"/>
    <w:rsid w:val="00C255F0"/>
  </w:style>
  <w:style w:type="paragraph" w:styleId="BodyText2">
    <w:name w:val="Body Text 2"/>
    <w:basedOn w:val="Normal"/>
    <w:link w:val="BodyText2Char"/>
    <w:uiPriority w:val="99"/>
    <w:unhideWhenUsed/>
    <w:rsid w:val="00664A1E"/>
    <w:pPr>
      <w:shd w:val="clear" w:color="auto" w:fill="315F9F"/>
      <w:spacing w:before="120" w:after="120"/>
      <w:jc w:val="center"/>
    </w:pPr>
    <w:rPr>
      <w:b/>
      <w:bCs/>
      <w:color w:val="FFFFFF" w:themeColor="background1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64A1E"/>
    <w:rPr>
      <w:b/>
      <w:bCs/>
      <w:color w:val="FFFFFF" w:themeColor="background1"/>
      <w:sz w:val="28"/>
      <w:szCs w:val="28"/>
      <w:shd w:val="clear" w:color="auto" w:fill="315F9F"/>
    </w:rPr>
  </w:style>
  <w:style w:type="character" w:customStyle="1" w:styleId="Heading1Char">
    <w:name w:val="Heading 1 Char"/>
    <w:basedOn w:val="DefaultParagraphFont"/>
    <w:link w:val="Heading1"/>
    <w:uiPriority w:val="9"/>
    <w:rsid w:val="00664A1E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4A1E"/>
    <w:rPr>
      <w:b/>
      <w:bCs/>
      <w:sz w:val="28"/>
      <w:szCs w:val="28"/>
    </w:rPr>
  </w:style>
  <w:style w:type="paragraph" w:customStyle="1" w:styleId="Bullet1">
    <w:name w:val="Bullet 1"/>
    <w:basedOn w:val="ListParagraph"/>
    <w:qFormat/>
    <w:rsid w:val="00664A1E"/>
    <w:pPr>
      <w:numPr>
        <w:numId w:val="21"/>
      </w:numPr>
      <w:spacing w:before="40" w:after="40" w:line="240" w:lineRule="auto"/>
      <w:ind w:left="810" w:right="36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36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345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603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E78801C320444B2175305C788620F" ma:contentTypeVersion="" ma:contentTypeDescription="Create a new document." ma:contentTypeScope="" ma:versionID="8e9017fe82bf4f591592a4dd028f9cb0">
  <xsd:schema xmlns:xsd="http://www.w3.org/2001/XMLSchema" xmlns:xs="http://www.w3.org/2001/XMLSchema" xmlns:p="http://schemas.microsoft.com/office/2006/metadata/properties" xmlns:ns2="8788f4e6-566e-4d58-b7dd-a3bd94214486" xmlns:ns3="1a1bc6a2-7eb4-4680-982f-f4b48024185a" targetNamespace="http://schemas.microsoft.com/office/2006/metadata/properties" ma:root="true" ma:fieldsID="0caf2a6552c01146a51452f73ca2bf2f" ns2:_="" ns3:_="">
    <xsd:import namespace="8788f4e6-566e-4d58-b7dd-a3bd94214486"/>
    <xsd:import namespace="1a1bc6a2-7eb4-4680-982f-f4b480241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8f4e6-566e-4d58-b7dd-a3bd9421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c6a2-7eb4-4680-982f-f4b480241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F78B0-164C-46A7-A572-86A7A447C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ED4E4-F8F5-46AD-95C6-6D69BB9F4C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1bc6a2-7eb4-4680-982f-f4b48024185a"/>
    <ds:schemaRef ds:uri="8788f4e6-566e-4d58-b7dd-a3bd942144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803B96-2A59-4B3D-B04C-4F5DBA8F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8f4e6-566e-4d58-b7dd-a3bd94214486"/>
    <ds:schemaRef ds:uri="1a1bc6a2-7eb4-4680-982f-f4b480241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Breakout Group Activity #2 What does a successful IET learner experience look like?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Breakout Group Activity #2 What does a successful IET learner experience look like?</dc:title>
  <dc:subject>Breakout Group Activity #2 What does a successful IET learner experience look like?</dc:subject>
  <dc:creator>U.S. Department of Education, Office of Career Technical and Adult Education</dc:creator>
  <cp:keywords>IET Design Camp, Phase 2, U.S. Department of Education, Office of Career, Technical and Adult Education, breakout activity, success, learner experience, considerations, supports</cp:keywords>
  <dc:description>Copyright status: Public domain.</dc:description>
  <cp:lastModifiedBy>Hammond, Sondra</cp:lastModifiedBy>
  <cp:revision>29</cp:revision>
  <dcterms:created xsi:type="dcterms:W3CDTF">2022-02-01T22:42:00Z</dcterms:created>
  <dcterms:modified xsi:type="dcterms:W3CDTF">2022-05-18T03:10:00Z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0x010100BABE78801C320444B2175305C788620F</vt:lpwstr>
  </property>
</Properties>
</file>